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1520" w:type="dxa"/>
            <w:tcBorders>
              <w:top w:val="nil"/>
              <w:left w:val="nil"/>
              <w:bottom w:val="nil"/>
              <w:right w:val="nil"/>
            </w:tcBorders>
            <w:shd w:val="clear" w:color="auto" w:fill="FFFFFF"/>
            <w:tcMar>
              <w:top w:w="264" w:type="dxa"/>
              <w:left w:w="360" w:type="dxa"/>
            </w:tcMar>
            <w:vAlign w:val="center"/>
          </w:tcPr>
          <w:p>
            <w:pPr>
              <w:keepNext w:val="0"/>
              <w:keepLines w:val="0"/>
              <w:widowControl/>
              <w:suppressLineNumbers w:val="0"/>
              <w:spacing w:before="0" w:beforeAutospacing="0" w:after="0" w:afterAutospacing="0" w:line="432" w:lineRule="atLeast"/>
              <w:ind w:left="0" w:right="0" w:firstLine="0"/>
              <w:jc w:val="center"/>
              <w:rPr>
                <w:rFonts w:ascii="微软雅黑" w:hAnsi="微软雅黑" w:eastAsia="微软雅黑" w:cs="微软雅黑"/>
                <w:b/>
                <w:bCs/>
                <w:i w:val="0"/>
                <w:iCs w:val="0"/>
                <w:caps w:val="0"/>
                <w:color w:val="333333"/>
                <w:spacing w:val="0"/>
                <w:sz w:val="33"/>
                <w:szCs w:val="33"/>
              </w:rPr>
            </w:pPr>
            <w:r>
              <w:rPr>
                <w:rFonts w:hint="eastAsia" w:ascii="微软雅黑" w:hAnsi="微软雅黑" w:eastAsia="微软雅黑" w:cs="微软雅黑"/>
                <w:b/>
                <w:bCs/>
                <w:i w:val="0"/>
                <w:iCs w:val="0"/>
                <w:caps w:val="0"/>
                <w:color w:val="333333"/>
                <w:spacing w:val="0"/>
                <w:kern w:val="0"/>
                <w:sz w:val="33"/>
                <w:szCs w:val="33"/>
                <w:bdr w:val="none" w:color="auto" w:sz="0" w:space="0"/>
                <w:lang w:val="en-US" w:eastAsia="zh-CN" w:bidi="ar"/>
              </w:rPr>
              <w:t>浙江省委召开全省基层党建工作会议 易炼红讲话</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ascii="微软雅黑" w:hAnsi="微软雅黑" w:eastAsia="微软雅黑" w:cs="微软雅黑"/>
          <w:i w:val="0"/>
          <w:iCs w:val="0"/>
          <w:caps w:val="0"/>
          <w:color w:val="333333"/>
          <w:spacing w:val="0"/>
          <w:sz w:val="28"/>
          <w:szCs w:val="28"/>
        </w:rPr>
      </w:pPr>
      <w:bookmarkStart w:id="0" w:name="_GoBack"/>
      <w:r>
        <w:rPr>
          <w:rFonts w:hint="eastAsia" w:ascii="微软雅黑" w:hAnsi="微软雅黑" w:eastAsia="微软雅黑" w:cs="微软雅黑"/>
          <w:i w:val="0"/>
          <w:iCs w:val="0"/>
          <w:caps w:val="0"/>
          <w:color w:val="333333"/>
          <w:spacing w:val="0"/>
          <w:sz w:val="28"/>
          <w:szCs w:val="28"/>
          <w:bdr w:val="none" w:color="auto" w:sz="0" w:space="0"/>
          <w:shd w:val="clear" w:fill="FFFFFF"/>
        </w:rPr>
        <w:t>7月1日下午，省委召开全省基层党建工作会议。记者 胡元勇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shd w:val="clear" w:fill="FFFFFF"/>
        </w:rPr>
        <w:t>易炼红在全省基层党建工作会议上强调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shd w:val="clear" w:fill="FFFFFF"/>
        </w:rPr>
        <w:t>以更高站位抓党建带全局抓基层强基础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shd w:val="clear" w:fill="FFFFFF"/>
        </w:rPr>
        <w:t>推动我省基层党建工作勇争先再攀高更过硬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shd w:val="clear" w:fill="FFFFFF"/>
        </w:rPr>
        <w:t>王浩主持 廉毅敏出席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在中国共产党成立103周年之际，省委于1日下午召开全省基层党建工作会议，深入学习贯彻习近平总书记关于党的建设的重要思想和考察浙江重要讲话精神，进一步释放大抓基层、重抓基础的强烈信号和鲜明导向，部署基层党建争先攀高行动，高水平打造勤廉并重的新时代党建高地。省委书记易炼红出席会议并讲话，强调要全面贯彻新时代党的建设总要求和新时代党的组织路线，以夯实党的执政根基为根本，增强政治功能和组织功能为主线，全面加强“三支队伍”建设为牵引，不断提升组织体系建设整体效能、优化组织作用发挥机制、强化组织动员能力本领、拓宽组织优势转化通道，推动基层党建工作全省域建强、全领域过硬、全面走在前列，为勇当先行者、谱写新篇章提供坚强组织保障、打牢坚实基层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省委副书记、省长王浩主持会议，省政协主席廉毅敏，省委副书记、杭州市委书记刘捷和其他省委常委、省人大常委会党组书记在省主会场或有关分会场出席。会上，宣读了省委关于命名第二批“红色根脉”强基（基层党建）示范县（市、区）、示范乡镇（街道）、示范村（社区）的决定；庆元县委、杭州市萧山区瓜沥镇党委、开化县高合村党支部、宁波市江北区望江社区党支部主要负责人作交流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易炼红指出，这些年来，全省上下坚持以“八八战略”为统领，深入实施“红色根脉”强基工程，政治铸魂基础更加牢固，护航大局作用更加彰显，实践创新成果更加丰硕，体系保障机制更加完善，服务惠民导向更加鲜明，久久为功抓基层党建的显著成效值得充分肯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易炼红强调，要以更高站位抓党建带全局、抓基层强基础，牢牢把握基层党建工作的政治指向性，进一步强化“组织体系是基础”战略导向，坚定不移把基层党建作为长远之计、固本之策，全面加强各领域基层党组织建设；牢牢把握基层党建工作的全局牵引性，进一步强化“作用发挥是关键”价值导向，推动基层党建工作深度融入、主动服务中国式现代化省域实践，在求实效、显价值、出成果上取得更大突破；牢牢把握基层党建工作的变革实践性，进一步强化“创新引领是动力”先行导向，以现代化思维理念方法手段，加快推动基层组织体系变革、基层党员干部能力提升；牢牢把握基层党建工作的力量聚合性，进一步强化“人才队伍是支撑”务实导向，以“大人才观”配强班子、抓好党员、集聚人才，不断提升基层党组织的政治领导力、思想引领力、贯彻执行力、群众组织力、社会号召力、自身免疫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易炼红强调，要明确发力重点、提升整体效能，推动我省基层党建工作勇争先、再攀高、更过硬。聚力加强政治建设，推动政治铸魂领航提质争先，加强理论武装，深入宣讲宣介，健全落实闭环，坚定不移用习近平新时代中国特色社会主义思想凝心铸魂；聚力夯实战斗堡垒，加快打造上下贯通、执行有力的组织体系，坚持一切工作到支部，着力建强基层骨干队伍，推进各领域党建全面进步；聚力护航中心大局，找准赋能保障改革发展的发力点着力点，深入推进党建引领基层治理、乡村全面振兴、业务发展，推动共富工坊迭代升级，协同推进产业链供应链创新链党建工作；聚力走好群众路线，以更大力度增进改善民生福祉，深入践行“四下基层”，健全“民呼我为”机制，用心用情走访联系群众、回应需求、办好实事；聚力建强党员队伍，从严从实抓好日常教育管理监督，抓好党员发展入口关、日常教育关、担当履职关，深入推进“进出育管爱”全链条管理；聚力营造勤廉风尚，坚持以严的基调强化正风肃纪，以党纪学习教育为契机，绷紧纪律之弦、织密监督之网、纠治不正之风，把纪律规矩挺起来严起来。要切实扛起守根护脉的政治担当，进一步加强基层党建工作组织领导，全面压实领导责任，鼓励褒奖争先创优，持续强化支持保障，切实减轻基层负担，把执政重在基层、工作倾斜基层、关爱传给基层的要求落到实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会议以视频会议形式开至各设区市。</w:t>
      </w:r>
    </w:p>
    <w:p>
      <w:pPr>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E31A4"/>
    <w:rsid w:val="648E3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2024-08-16T08:34:00Z</dcterms:created>
  <dc:creator>夏雪</dc:creator>
  <cp:lastModifiedBy>夏雪</cp:lastModifiedBy>
  <dcterms:modified xsi:type="dcterms:W3CDTF">2024-08-16T08:34:58Z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